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524" w:type="dxa"/>
        <w:tblLook w:val="04A0" w:firstRow="1" w:lastRow="0" w:firstColumn="1" w:lastColumn="0" w:noHBand="0" w:noVBand="1"/>
      </w:tblPr>
      <w:tblGrid>
        <w:gridCol w:w="1994"/>
        <w:gridCol w:w="5441"/>
        <w:gridCol w:w="1137"/>
        <w:gridCol w:w="1368"/>
      </w:tblGrid>
      <w:tr w:rsidR="003140F2" w:rsidTr="00E7711A">
        <w:trPr>
          <w:trHeight w:val="144"/>
        </w:trPr>
        <w:tc>
          <w:tcPr>
            <w:tcW w:w="1994" w:type="dxa"/>
            <w:vMerge w:val="restart"/>
          </w:tcPr>
          <w:p w:rsidR="003140F2" w:rsidRDefault="00E7711A" w:rsidP="00985B37">
            <w:pPr>
              <w:pStyle w:val="stBilgi"/>
              <w:rPr>
                <w:rFonts w:eastAsia="Courier New"/>
                <w:b/>
                <w:sz w:val="32"/>
                <w:szCs w:val="32"/>
              </w:rPr>
            </w:pPr>
            <w:r w:rsidRPr="0085007F">
              <w:rPr>
                <w:noProof/>
              </w:rPr>
              <w:drawing>
                <wp:inline distT="0" distB="0" distL="0" distR="0" wp14:anchorId="7C952245" wp14:editId="0050A788">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3140F2" w:rsidRDefault="003140F2" w:rsidP="00985B37">
            <w:pPr>
              <w:rPr>
                <w:rFonts w:eastAsia="Courier New"/>
                <w:lang w:val="en-US"/>
              </w:rPr>
            </w:pPr>
          </w:p>
          <w:p w:rsidR="003140F2" w:rsidRPr="00674D61" w:rsidRDefault="003140F2" w:rsidP="00985B37">
            <w:pPr>
              <w:jc w:val="center"/>
              <w:rPr>
                <w:rFonts w:eastAsia="Courier New"/>
                <w:lang w:val="en-US"/>
              </w:rPr>
            </w:pPr>
          </w:p>
        </w:tc>
        <w:tc>
          <w:tcPr>
            <w:tcW w:w="5441" w:type="dxa"/>
            <w:vMerge w:val="restart"/>
          </w:tcPr>
          <w:p w:rsidR="003140F2" w:rsidRPr="00F8570E" w:rsidRDefault="00E7711A" w:rsidP="00985B37">
            <w:pPr>
              <w:pStyle w:val="stBilgi"/>
              <w:jc w:val="center"/>
              <w:rPr>
                <w:rFonts w:ascii="Verdana" w:hAnsi="Verdana"/>
                <w:b/>
              </w:rPr>
            </w:pPr>
            <w:r>
              <w:rPr>
                <w:rFonts w:ascii="Verdana" w:hAnsi="Verdana"/>
                <w:b/>
              </w:rPr>
              <w:t>IRNAC</w:t>
            </w:r>
          </w:p>
          <w:p w:rsidR="00E7711A" w:rsidRDefault="00E7711A" w:rsidP="00985B37">
            <w:pPr>
              <w:pStyle w:val="stBilgi"/>
              <w:jc w:val="center"/>
              <w:rPr>
                <w:sz w:val="32"/>
                <w:szCs w:val="32"/>
              </w:rPr>
            </w:pPr>
          </w:p>
          <w:p w:rsidR="00E7711A" w:rsidRDefault="00E7711A" w:rsidP="00985B37">
            <w:pPr>
              <w:pStyle w:val="stBilgi"/>
              <w:jc w:val="center"/>
              <w:rPr>
                <w:sz w:val="32"/>
                <w:szCs w:val="32"/>
              </w:rPr>
            </w:pPr>
          </w:p>
          <w:p w:rsidR="003140F2" w:rsidRDefault="003140F2" w:rsidP="00985B37">
            <w:pPr>
              <w:pStyle w:val="stBilgi"/>
              <w:jc w:val="center"/>
              <w:rPr>
                <w:rFonts w:eastAsia="Courier New"/>
                <w:b/>
                <w:sz w:val="32"/>
                <w:szCs w:val="32"/>
              </w:rPr>
            </w:pPr>
            <w:proofErr w:type="spellStart"/>
            <w:r>
              <w:rPr>
                <w:sz w:val="32"/>
                <w:szCs w:val="32"/>
              </w:rPr>
              <w:t>Impartiality</w:t>
            </w:r>
            <w:proofErr w:type="spellEnd"/>
            <w:r>
              <w:rPr>
                <w:sz w:val="32"/>
                <w:szCs w:val="32"/>
              </w:rPr>
              <w:t xml:space="preserve"> </w:t>
            </w:r>
            <w:proofErr w:type="spellStart"/>
            <w:r>
              <w:rPr>
                <w:sz w:val="32"/>
                <w:szCs w:val="32"/>
              </w:rPr>
              <w:t>Policy</w:t>
            </w:r>
            <w:proofErr w:type="spellEnd"/>
          </w:p>
        </w:tc>
        <w:tc>
          <w:tcPr>
            <w:tcW w:w="1137" w:type="dxa"/>
          </w:tcPr>
          <w:p w:rsidR="003140F2" w:rsidRPr="004F5E88" w:rsidRDefault="003140F2" w:rsidP="00985B37">
            <w:pPr>
              <w:pStyle w:val="stBilgi"/>
              <w:jc w:val="center"/>
              <w:rPr>
                <w:rFonts w:ascii="Verdana" w:hAnsi="Verdana"/>
                <w:b/>
                <w:sz w:val="16"/>
                <w:szCs w:val="16"/>
              </w:rPr>
            </w:pPr>
            <w:proofErr w:type="spellStart"/>
            <w:r w:rsidRPr="004F5E88">
              <w:rPr>
                <w:rFonts w:ascii="Verdana" w:hAnsi="Verdana"/>
                <w:b/>
                <w:sz w:val="16"/>
                <w:szCs w:val="16"/>
              </w:rPr>
              <w:t>Document</w:t>
            </w:r>
            <w:proofErr w:type="spellEnd"/>
            <w:r w:rsidRPr="004F5E88">
              <w:rPr>
                <w:rFonts w:ascii="Verdana" w:hAnsi="Verdana"/>
                <w:b/>
                <w:sz w:val="16"/>
                <w:szCs w:val="16"/>
              </w:rPr>
              <w:t xml:space="preserve"> No:</w:t>
            </w:r>
          </w:p>
        </w:tc>
        <w:tc>
          <w:tcPr>
            <w:tcW w:w="1368" w:type="dxa"/>
          </w:tcPr>
          <w:p w:rsidR="003140F2" w:rsidRPr="003140F2" w:rsidRDefault="00E7711A" w:rsidP="00985B37">
            <w:pPr>
              <w:pStyle w:val="stBilgi"/>
              <w:jc w:val="center"/>
              <w:rPr>
                <w:rFonts w:ascii="Verdana" w:hAnsi="Verdana"/>
                <w:b/>
                <w:sz w:val="12"/>
                <w:szCs w:val="12"/>
              </w:rPr>
            </w:pPr>
            <w:r>
              <w:rPr>
                <w:rFonts w:ascii="Verdana" w:hAnsi="Verdana"/>
                <w:b/>
                <w:sz w:val="12"/>
                <w:szCs w:val="12"/>
              </w:rPr>
              <w:t>IRNAC</w:t>
            </w:r>
            <w:r w:rsidR="003140F2" w:rsidRPr="003140F2">
              <w:rPr>
                <w:rFonts w:ascii="Verdana" w:hAnsi="Verdana"/>
                <w:b/>
                <w:sz w:val="12"/>
                <w:szCs w:val="12"/>
              </w:rPr>
              <w:t>-POL-01</w:t>
            </w:r>
          </w:p>
          <w:p w:rsidR="003140F2" w:rsidRDefault="003140F2" w:rsidP="00985B37">
            <w:pPr>
              <w:pStyle w:val="stBilgi"/>
              <w:rPr>
                <w:rFonts w:eastAsia="Courier New"/>
                <w:b/>
                <w:sz w:val="32"/>
                <w:szCs w:val="32"/>
              </w:rPr>
            </w:pPr>
          </w:p>
        </w:tc>
      </w:tr>
      <w:tr w:rsidR="003140F2" w:rsidTr="00E7711A">
        <w:trPr>
          <w:trHeight w:val="144"/>
        </w:trPr>
        <w:tc>
          <w:tcPr>
            <w:tcW w:w="1994" w:type="dxa"/>
            <w:vMerge/>
          </w:tcPr>
          <w:p w:rsidR="003140F2" w:rsidRDefault="003140F2" w:rsidP="00985B37">
            <w:pPr>
              <w:pStyle w:val="stBilgi"/>
              <w:rPr>
                <w:rFonts w:eastAsia="Courier New"/>
                <w:b/>
                <w:sz w:val="32"/>
                <w:szCs w:val="32"/>
              </w:rPr>
            </w:pPr>
          </w:p>
        </w:tc>
        <w:tc>
          <w:tcPr>
            <w:tcW w:w="5441" w:type="dxa"/>
            <w:vMerge/>
          </w:tcPr>
          <w:p w:rsidR="003140F2" w:rsidRPr="00F8570E" w:rsidRDefault="003140F2" w:rsidP="00985B37">
            <w:pPr>
              <w:pStyle w:val="stBilgi"/>
              <w:jc w:val="center"/>
              <w:rPr>
                <w:rFonts w:ascii="Verdana" w:hAnsi="Verdana"/>
                <w:b/>
              </w:rPr>
            </w:pPr>
          </w:p>
        </w:tc>
        <w:tc>
          <w:tcPr>
            <w:tcW w:w="1137" w:type="dxa"/>
          </w:tcPr>
          <w:p w:rsidR="003140F2" w:rsidRPr="004F5E88" w:rsidRDefault="003140F2" w:rsidP="00985B37">
            <w:pPr>
              <w:pStyle w:val="stBilgi"/>
              <w:jc w:val="center"/>
              <w:rPr>
                <w:rFonts w:ascii="Verdana" w:hAnsi="Verdana"/>
                <w:b/>
                <w:sz w:val="16"/>
                <w:szCs w:val="16"/>
              </w:rPr>
            </w:pPr>
            <w:proofErr w:type="spellStart"/>
            <w:r w:rsidRPr="004F5E88">
              <w:rPr>
                <w:rFonts w:ascii="Verdana" w:hAnsi="Verdana"/>
                <w:b/>
                <w:sz w:val="16"/>
                <w:szCs w:val="16"/>
              </w:rPr>
              <w:t>Release</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w:t>
            </w:r>
          </w:p>
        </w:tc>
        <w:tc>
          <w:tcPr>
            <w:tcW w:w="1368" w:type="dxa"/>
          </w:tcPr>
          <w:p w:rsidR="003140F2" w:rsidRDefault="003140F2" w:rsidP="00985B37">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E7711A">
              <w:rPr>
                <w:rFonts w:ascii="Verdana" w:hAnsi="Verdana"/>
                <w:b/>
                <w:sz w:val="16"/>
                <w:szCs w:val="16"/>
              </w:rPr>
              <w:t>3</w:t>
            </w:r>
          </w:p>
        </w:tc>
      </w:tr>
      <w:tr w:rsidR="003140F2" w:rsidTr="00E7711A">
        <w:trPr>
          <w:trHeight w:val="253"/>
        </w:trPr>
        <w:tc>
          <w:tcPr>
            <w:tcW w:w="1994" w:type="dxa"/>
            <w:vMerge/>
          </w:tcPr>
          <w:p w:rsidR="003140F2" w:rsidRDefault="003140F2" w:rsidP="00985B37">
            <w:pPr>
              <w:pStyle w:val="stBilgi"/>
              <w:rPr>
                <w:rFonts w:eastAsia="Courier New"/>
                <w:b/>
                <w:sz w:val="32"/>
                <w:szCs w:val="32"/>
              </w:rPr>
            </w:pPr>
          </w:p>
        </w:tc>
        <w:tc>
          <w:tcPr>
            <w:tcW w:w="5441" w:type="dxa"/>
            <w:vMerge/>
          </w:tcPr>
          <w:p w:rsidR="003140F2" w:rsidRPr="00F8570E" w:rsidRDefault="003140F2" w:rsidP="00985B37">
            <w:pPr>
              <w:pStyle w:val="stBilgi"/>
              <w:jc w:val="center"/>
              <w:rPr>
                <w:rFonts w:ascii="Verdana" w:hAnsi="Verdana"/>
                <w:b/>
              </w:rPr>
            </w:pPr>
          </w:p>
        </w:tc>
        <w:tc>
          <w:tcPr>
            <w:tcW w:w="1137" w:type="dxa"/>
          </w:tcPr>
          <w:p w:rsidR="003140F2" w:rsidRPr="004F5E88" w:rsidRDefault="003140F2" w:rsidP="00985B37">
            <w:pPr>
              <w:pStyle w:val="stBilgi"/>
              <w:jc w:val="center"/>
              <w:rPr>
                <w:rFonts w:ascii="Verdana" w:hAnsi="Verdana"/>
                <w:b/>
                <w:sz w:val="16"/>
                <w:szCs w:val="16"/>
              </w:rPr>
            </w:pPr>
            <w:proofErr w:type="spellStart"/>
            <w:r w:rsidRPr="004F5E88">
              <w:rPr>
                <w:rFonts w:ascii="Verdana" w:hAnsi="Verdana"/>
                <w:b/>
                <w:sz w:val="16"/>
                <w:szCs w:val="16"/>
              </w:rPr>
              <w:t>Rev</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 xml:space="preserve"> / No:</w:t>
            </w:r>
          </w:p>
        </w:tc>
        <w:tc>
          <w:tcPr>
            <w:tcW w:w="1368" w:type="dxa"/>
          </w:tcPr>
          <w:p w:rsidR="003140F2" w:rsidRDefault="003140F2" w:rsidP="00985B37">
            <w:pPr>
              <w:pStyle w:val="stBilgi"/>
              <w:jc w:val="center"/>
              <w:rPr>
                <w:rFonts w:eastAsia="Courier New"/>
                <w:b/>
                <w:sz w:val="32"/>
                <w:szCs w:val="32"/>
              </w:rPr>
            </w:pPr>
            <w:r>
              <w:rPr>
                <w:rFonts w:eastAsia="Courier New"/>
                <w:b/>
                <w:sz w:val="32"/>
                <w:szCs w:val="32"/>
              </w:rPr>
              <w:t>0</w:t>
            </w:r>
          </w:p>
        </w:tc>
      </w:tr>
      <w:tr w:rsidR="003140F2" w:rsidTr="00E7711A">
        <w:trPr>
          <w:trHeight w:val="253"/>
        </w:trPr>
        <w:tc>
          <w:tcPr>
            <w:tcW w:w="1994" w:type="dxa"/>
            <w:vMerge/>
          </w:tcPr>
          <w:p w:rsidR="003140F2" w:rsidRDefault="003140F2" w:rsidP="00985B37">
            <w:pPr>
              <w:pStyle w:val="stBilgi"/>
              <w:rPr>
                <w:rFonts w:eastAsia="Courier New"/>
                <w:b/>
                <w:sz w:val="32"/>
                <w:szCs w:val="32"/>
              </w:rPr>
            </w:pPr>
          </w:p>
        </w:tc>
        <w:tc>
          <w:tcPr>
            <w:tcW w:w="5441" w:type="dxa"/>
            <w:vMerge/>
          </w:tcPr>
          <w:p w:rsidR="003140F2" w:rsidRPr="00F8570E" w:rsidRDefault="003140F2" w:rsidP="00985B37">
            <w:pPr>
              <w:pStyle w:val="stBilgi"/>
              <w:jc w:val="center"/>
              <w:rPr>
                <w:rFonts w:ascii="Verdana" w:hAnsi="Verdana"/>
                <w:b/>
              </w:rPr>
            </w:pPr>
          </w:p>
        </w:tc>
        <w:tc>
          <w:tcPr>
            <w:tcW w:w="1137" w:type="dxa"/>
          </w:tcPr>
          <w:p w:rsidR="003140F2" w:rsidRPr="004F5E88" w:rsidRDefault="003140F2" w:rsidP="00985B37">
            <w:pPr>
              <w:pStyle w:val="stBilgi"/>
              <w:jc w:val="center"/>
              <w:rPr>
                <w:rFonts w:ascii="Verdana" w:hAnsi="Verdana"/>
                <w:b/>
                <w:sz w:val="16"/>
                <w:szCs w:val="16"/>
              </w:rPr>
            </w:pPr>
          </w:p>
        </w:tc>
        <w:tc>
          <w:tcPr>
            <w:tcW w:w="1368" w:type="dxa"/>
          </w:tcPr>
          <w:p w:rsidR="003140F2" w:rsidRDefault="003140F2" w:rsidP="00985B37">
            <w:pPr>
              <w:pStyle w:val="stBilgi"/>
              <w:rPr>
                <w:rFonts w:eastAsia="Courier New"/>
                <w:b/>
                <w:sz w:val="32"/>
                <w:szCs w:val="32"/>
              </w:rPr>
            </w:pPr>
          </w:p>
        </w:tc>
      </w:tr>
    </w:tbl>
    <w:p w:rsidR="00790F9F" w:rsidRDefault="00790F9F">
      <w:pPr>
        <w:pStyle w:val="GvdeMetni"/>
        <w:rPr>
          <w:rFonts w:ascii="Times New Roman"/>
          <w:sz w:val="20"/>
        </w:rPr>
      </w:pPr>
    </w:p>
    <w:p w:rsidR="00790F9F" w:rsidRDefault="00790F9F">
      <w:pPr>
        <w:pStyle w:val="GvdeMetni"/>
        <w:spacing w:before="10"/>
        <w:rPr>
          <w:rFonts w:ascii="Times New Roman"/>
          <w:sz w:val="25"/>
        </w:rPr>
      </w:pPr>
    </w:p>
    <w:p w:rsidR="00790F9F" w:rsidRDefault="00F953B5">
      <w:pPr>
        <w:pStyle w:val="KonuBal"/>
        <w:rPr>
          <w:u w:val="none"/>
        </w:rPr>
      </w:pPr>
      <w:r>
        <w:rPr>
          <w:w w:val="110"/>
        </w:rPr>
        <w:t>Impartiality</w:t>
      </w:r>
      <w:r>
        <w:rPr>
          <w:spacing w:val="-5"/>
          <w:w w:val="110"/>
        </w:rPr>
        <w:t xml:space="preserve"> </w:t>
      </w:r>
      <w:r>
        <w:rPr>
          <w:w w:val="110"/>
        </w:rPr>
        <w:t>Policy</w:t>
      </w:r>
    </w:p>
    <w:p w:rsidR="00790F9F" w:rsidRDefault="00790F9F">
      <w:pPr>
        <w:pStyle w:val="GvdeMetni"/>
        <w:rPr>
          <w:b/>
          <w:sz w:val="20"/>
        </w:rPr>
      </w:pPr>
    </w:p>
    <w:p w:rsidR="00790F9F" w:rsidRDefault="00790F9F">
      <w:pPr>
        <w:pStyle w:val="GvdeMetni"/>
        <w:spacing w:before="9"/>
        <w:rPr>
          <w:b/>
          <w:sz w:val="25"/>
        </w:rPr>
      </w:pPr>
    </w:p>
    <w:p w:rsidR="00790F9F" w:rsidRDefault="00A2446E">
      <w:pPr>
        <w:pStyle w:val="GvdeMetni"/>
        <w:spacing w:before="98" w:line="276" w:lineRule="auto"/>
        <w:ind w:left="106" w:right="125"/>
        <w:jc w:val="both"/>
      </w:pPr>
      <w:r>
        <w:t>IRNAC</w:t>
      </w:r>
      <w:r w:rsidR="00F953B5">
        <w:t>'s management bodies and all employees are aware of the importance of impartiality and it is the primary</w:t>
      </w:r>
      <w:r w:rsidR="00F953B5">
        <w:rPr>
          <w:spacing w:val="1"/>
        </w:rPr>
        <w:t xml:space="preserve"> </w:t>
      </w:r>
      <w:r w:rsidR="00F953B5">
        <w:t>responsibility</w:t>
      </w:r>
      <w:r w:rsidR="00F953B5">
        <w:rPr>
          <w:spacing w:val="1"/>
        </w:rPr>
        <w:t xml:space="preserve"> </w:t>
      </w:r>
      <w:r w:rsidR="00F953B5">
        <w:t>of</w:t>
      </w:r>
      <w:r w:rsidR="00F953B5">
        <w:rPr>
          <w:spacing w:val="1"/>
        </w:rPr>
        <w:t xml:space="preserve"> </w:t>
      </w:r>
      <w:r w:rsidR="00F953B5">
        <w:t>all</w:t>
      </w:r>
      <w:r w:rsidR="00F953B5">
        <w:rPr>
          <w:spacing w:val="1"/>
        </w:rPr>
        <w:t xml:space="preserve"> </w:t>
      </w:r>
      <w:r w:rsidR="00F953B5">
        <w:t>employees,</w:t>
      </w:r>
      <w:r w:rsidR="00F953B5">
        <w:rPr>
          <w:spacing w:val="1"/>
        </w:rPr>
        <w:t xml:space="preserve"> </w:t>
      </w:r>
      <w:r w:rsidR="00F953B5">
        <w:t>including</w:t>
      </w:r>
      <w:r w:rsidR="00F953B5">
        <w:rPr>
          <w:spacing w:val="1"/>
        </w:rPr>
        <w:t xml:space="preserve"> </w:t>
      </w:r>
      <w:r w:rsidR="000C424E">
        <w:t>IRNAC</w:t>
      </w:r>
      <w:r w:rsidR="002E1CBA">
        <w:rPr>
          <w:spacing w:val="1"/>
        </w:rPr>
        <w:t xml:space="preserve"> </w:t>
      </w:r>
      <w:r w:rsidR="00F953B5">
        <w:t>top</w:t>
      </w:r>
      <w:r w:rsidR="00F953B5">
        <w:rPr>
          <w:spacing w:val="1"/>
        </w:rPr>
        <w:t xml:space="preserve"> </w:t>
      </w:r>
      <w:r w:rsidR="00F953B5">
        <w:t>management,</w:t>
      </w:r>
      <w:r w:rsidR="00F953B5">
        <w:rPr>
          <w:spacing w:val="1"/>
        </w:rPr>
        <w:t xml:space="preserve"> </w:t>
      </w:r>
      <w:r w:rsidR="00F953B5">
        <w:t>to</w:t>
      </w:r>
      <w:r w:rsidR="00F953B5">
        <w:rPr>
          <w:spacing w:val="1"/>
        </w:rPr>
        <w:t xml:space="preserve"> </w:t>
      </w:r>
      <w:r w:rsidR="00F953B5">
        <w:t>carry</w:t>
      </w:r>
      <w:r w:rsidR="00F953B5">
        <w:rPr>
          <w:spacing w:val="1"/>
        </w:rPr>
        <w:t xml:space="preserve"> </w:t>
      </w:r>
      <w:r w:rsidR="00F953B5">
        <w:t>out</w:t>
      </w:r>
      <w:r w:rsidR="00F953B5">
        <w:rPr>
          <w:spacing w:val="1"/>
        </w:rPr>
        <w:t xml:space="preserve"> </w:t>
      </w:r>
      <w:r w:rsidR="00F953B5">
        <w:t>accreditation</w:t>
      </w:r>
      <w:r w:rsidR="00F953B5">
        <w:rPr>
          <w:spacing w:val="1"/>
        </w:rPr>
        <w:t xml:space="preserve"> </w:t>
      </w:r>
      <w:r w:rsidR="00F953B5">
        <w:t>activities</w:t>
      </w:r>
      <w:r w:rsidR="00F953B5">
        <w:rPr>
          <w:spacing w:val="63"/>
        </w:rPr>
        <w:t xml:space="preserve"> </w:t>
      </w:r>
      <w:r w:rsidR="00F953B5">
        <w:t>in</w:t>
      </w:r>
      <w:r w:rsidR="00F953B5">
        <w:rPr>
          <w:spacing w:val="1"/>
        </w:rPr>
        <w:t xml:space="preserve"> </w:t>
      </w:r>
      <w:r w:rsidR="00F953B5">
        <w:t>accordance</w:t>
      </w:r>
      <w:r w:rsidR="00F953B5">
        <w:rPr>
          <w:spacing w:val="5"/>
        </w:rPr>
        <w:t xml:space="preserve"> </w:t>
      </w:r>
      <w:r w:rsidR="00F953B5">
        <w:t>with</w:t>
      </w:r>
      <w:r w:rsidR="00F953B5">
        <w:rPr>
          <w:spacing w:val="6"/>
        </w:rPr>
        <w:t xml:space="preserve"> </w:t>
      </w:r>
      <w:r w:rsidR="00F953B5">
        <w:t>the</w:t>
      </w:r>
      <w:r w:rsidR="00F953B5">
        <w:rPr>
          <w:spacing w:val="5"/>
        </w:rPr>
        <w:t xml:space="preserve"> </w:t>
      </w:r>
      <w:r w:rsidR="00F953B5">
        <w:t>impartiality</w:t>
      </w:r>
      <w:r w:rsidR="00F953B5">
        <w:rPr>
          <w:spacing w:val="6"/>
        </w:rPr>
        <w:t xml:space="preserve"> </w:t>
      </w:r>
      <w:r w:rsidR="00F953B5">
        <w:t>requirements</w:t>
      </w:r>
      <w:r w:rsidR="00F953B5">
        <w:rPr>
          <w:spacing w:val="5"/>
        </w:rPr>
        <w:t xml:space="preserve"> </w:t>
      </w:r>
      <w:r w:rsidR="00F953B5">
        <w:t>of</w:t>
      </w:r>
      <w:r w:rsidR="00F953B5">
        <w:rPr>
          <w:spacing w:val="6"/>
        </w:rPr>
        <w:t xml:space="preserve"> </w:t>
      </w:r>
      <w:r w:rsidR="00F953B5">
        <w:t>the</w:t>
      </w:r>
      <w:r w:rsidR="00F953B5">
        <w:rPr>
          <w:spacing w:val="6"/>
        </w:rPr>
        <w:t xml:space="preserve"> </w:t>
      </w:r>
      <w:r w:rsidR="00F953B5">
        <w:t>ISO</w:t>
      </w:r>
      <w:r w:rsidR="00F953B5">
        <w:rPr>
          <w:spacing w:val="5"/>
        </w:rPr>
        <w:t xml:space="preserve"> </w:t>
      </w:r>
      <w:r w:rsidR="00F953B5">
        <w:rPr>
          <w:w w:val="95"/>
        </w:rPr>
        <w:t>/</w:t>
      </w:r>
      <w:r w:rsidR="00F953B5">
        <w:rPr>
          <w:spacing w:val="9"/>
          <w:w w:val="95"/>
        </w:rPr>
        <w:t xml:space="preserve"> </w:t>
      </w:r>
      <w:r w:rsidR="00F953B5">
        <w:t>IEC</w:t>
      </w:r>
      <w:r w:rsidR="00F953B5">
        <w:rPr>
          <w:spacing w:val="6"/>
        </w:rPr>
        <w:t xml:space="preserve"> </w:t>
      </w:r>
      <w:r w:rsidR="00F953B5">
        <w:t>17011</w:t>
      </w:r>
      <w:r w:rsidR="00F953B5">
        <w:rPr>
          <w:spacing w:val="5"/>
        </w:rPr>
        <w:t xml:space="preserve"> </w:t>
      </w:r>
      <w:r w:rsidR="00F953B5">
        <w:t>standard</w:t>
      </w:r>
      <w:r w:rsidR="00F953B5">
        <w:rPr>
          <w:spacing w:val="6"/>
        </w:rPr>
        <w:t xml:space="preserve"> </w:t>
      </w:r>
      <w:r w:rsidR="00F953B5">
        <w:t>and</w:t>
      </w:r>
      <w:r w:rsidR="00F953B5">
        <w:rPr>
          <w:spacing w:val="5"/>
        </w:rPr>
        <w:t xml:space="preserve"> </w:t>
      </w:r>
      <w:r w:rsidR="00F953B5">
        <w:t>legal</w:t>
      </w:r>
      <w:r w:rsidR="00F953B5">
        <w:rPr>
          <w:spacing w:val="6"/>
        </w:rPr>
        <w:t xml:space="preserve"> </w:t>
      </w:r>
      <w:r w:rsidR="00F953B5">
        <w:t>regulations.</w:t>
      </w:r>
    </w:p>
    <w:p w:rsidR="00790F9F" w:rsidRDefault="000C424E">
      <w:pPr>
        <w:pStyle w:val="GvdeMetni"/>
        <w:spacing w:line="240" w:lineRule="exact"/>
        <w:ind w:left="106"/>
      </w:pPr>
      <w:r>
        <w:t>IRNAC</w:t>
      </w:r>
      <w:r w:rsidR="00F953B5">
        <w:t>:</w:t>
      </w:r>
    </w:p>
    <w:p w:rsidR="00790F9F" w:rsidRDefault="00F953B5">
      <w:pPr>
        <w:pStyle w:val="GvdeMetni"/>
        <w:spacing w:before="36" w:line="276" w:lineRule="auto"/>
        <w:ind w:left="106" w:right="127"/>
        <w:jc w:val="both"/>
      </w:pPr>
      <w:r>
        <w:t>Carries out its accreditation activities in a manner that is free from all kinds of commercial, financial, political,</w:t>
      </w:r>
      <w:r>
        <w:rPr>
          <w:spacing w:val="1"/>
        </w:rPr>
        <w:t xml:space="preserve"> </w:t>
      </w:r>
      <w:r>
        <w:t>administrative, etc. effects that may harm its independence, impartiality and objectivity and without seeking</w:t>
      </w:r>
      <w:r>
        <w:rPr>
          <w:spacing w:val="1"/>
        </w:rPr>
        <w:t xml:space="preserve"> </w:t>
      </w:r>
      <w:r>
        <w:t>profit in</w:t>
      </w:r>
      <w:r>
        <w:rPr>
          <w:spacing w:val="1"/>
        </w:rPr>
        <w:t xml:space="preserve"> </w:t>
      </w:r>
      <w:r>
        <w:t>its</w:t>
      </w:r>
      <w:r>
        <w:rPr>
          <w:spacing w:val="1"/>
        </w:rPr>
        <w:t xml:space="preserve"> </w:t>
      </w:r>
      <w:r>
        <w:t>activities.</w:t>
      </w:r>
    </w:p>
    <w:p w:rsidR="00790F9F" w:rsidRDefault="00F953B5">
      <w:pPr>
        <w:pStyle w:val="GvdeMetni"/>
        <w:spacing w:line="276" w:lineRule="auto"/>
        <w:ind w:left="106" w:right="126"/>
        <w:jc w:val="both"/>
      </w:pPr>
      <w:r>
        <w:t>Analyzes all conflict of interest risks that may affect the impartiality of all management bodies, committees,</w:t>
      </w:r>
      <w:r>
        <w:rPr>
          <w:spacing w:val="1"/>
        </w:rPr>
        <w:t xml:space="preserve"> </w:t>
      </w:r>
      <w:r>
        <w:t>personnel,</w:t>
      </w:r>
      <w:r>
        <w:rPr>
          <w:spacing w:val="4"/>
        </w:rPr>
        <w:t xml:space="preserve"> </w:t>
      </w:r>
      <w:r>
        <w:t>assessors</w:t>
      </w:r>
      <w:r>
        <w:rPr>
          <w:spacing w:val="5"/>
        </w:rPr>
        <w:t xml:space="preserve"> </w:t>
      </w:r>
      <w:r>
        <w:t>and</w:t>
      </w:r>
      <w:r>
        <w:rPr>
          <w:spacing w:val="5"/>
        </w:rPr>
        <w:t xml:space="preserve"> </w:t>
      </w:r>
      <w:r>
        <w:t>technical</w:t>
      </w:r>
      <w:r>
        <w:rPr>
          <w:spacing w:val="5"/>
        </w:rPr>
        <w:t xml:space="preserve"> </w:t>
      </w:r>
      <w:r>
        <w:t>experts,</w:t>
      </w:r>
      <w:r>
        <w:rPr>
          <w:spacing w:val="5"/>
        </w:rPr>
        <w:t xml:space="preserve"> </w:t>
      </w:r>
      <w:r>
        <w:t>and</w:t>
      </w:r>
      <w:r>
        <w:rPr>
          <w:spacing w:val="4"/>
        </w:rPr>
        <w:t xml:space="preserve"> </w:t>
      </w:r>
      <w:r>
        <w:t>takes</w:t>
      </w:r>
      <w:r>
        <w:rPr>
          <w:spacing w:val="5"/>
        </w:rPr>
        <w:t xml:space="preserve"> </w:t>
      </w:r>
      <w:r>
        <w:t>all</w:t>
      </w:r>
      <w:r>
        <w:rPr>
          <w:spacing w:val="5"/>
        </w:rPr>
        <w:t xml:space="preserve"> </w:t>
      </w:r>
      <w:r>
        <w:t>necessary</w:t>
      </w:r>
      <w:r>
        <w:rPr>
          <w:spacing w:val="5"/>
        </w:rPr>
        <w:t xml:space="preserve"> </w:t>
      </w:r>
      <w:r>
        <w:t>measures.</w:t>
      </w:r>
    </w:p>
    <w:p w:rsidR="00790F9F" w:rsidRDefault="00F953B5">
      <w:pPr>
        <w:pStyle w:val="GvdeMetni"/>
        <w:spacing w:line="276" w:lineRule="auto"/>
        <w:ind w:left="106" w:right="125"/>
        <w:jc w:val="both"/>
      </w:pPr>
      <w:r>
        <w:t>Does</w:t>
      </w:r>
      <w:r>
        <w:rPr>
          <w:spacing w:val="51"/>
        </w:rPr>
        <w:t xml:space="preserve"> </w:t>
      </w:r>
      <w:r>
        <w:t>not</w:t>
      </w:r>
      <w:r>
        <w:rPr>
          <w:spacing w:val="52"/>
        </w:rPr>
        <w:t xml:space="preserve"> </w:t>
      </w:r>
      <w:r>
        <w:t>provide</w:t>
      </w:r>
      <w:r>
        <w:rPr>
          <w:spacing w:val="52"/>
        </w:rPr>
        <w:t xml:space="preserve"> </w:t>
      </w:r>
      <w:r>
        <w:t>conformity</w:t>
      </w:r>
      <w:r>
        <w:rPr>
          <w:spacing w:val="53"/>
        </w:rPr>
        <w:t xml:space="preserve"> </w:t>
      </w:r>
      <w:r>
        <w:t>assessment</w:t>
      </w:r>
      <w:r>
        <w:rPr>
          <w:spacing w:val="51"/>
        </w:rPr>
        <w:t xml:space="preserve"> </w:t>
      </w:r>
      <w:r>
        <w:t>services</w:t>
      </w:r>
      <w:r>
        <w:rPr>
          <w:spacing w:val="52"/>
        </w:rPr>
        <w:t xml:space="preserve"> </w:t>
      </w:r>
      <w:r>
        <w:t>and</w:t>
      </w:r>
      <w:r>
        <w:rPr>
          <w:spacing w:val="52"/>
        </w:rPr>
        <w:t xml:space="preserve"> </w:t>
      </w:r>
      <w:r>
        <w:t>consultancy</w:t>
      </w:r>
      <w:r>
        <w:rPr>
          <w:spacing w:val="53"/>
        </w:rPr>
        <w:t xml:space="preserve"> </w:t>
      </w:r>
      <w:r>
        <w:t>for</w:t>
      </w:r>
      <w:r>
        <w:rPr>
          <w:spacing w:val="52"/>
        </w:rPr>
        <w:t xml:space="preserve"> </w:t>
      </w:r>
      <w:r>
        <w:t>conformity</w:t>
      </w:r>
      <w:r>
        <w:rPr>
          <w:spacing w:val="53"/>
        </w:rPr>
        <w:t xml:space="preserve"> </w:t>
      </w:r>
      <w:r>
        <w:t>assessment</w:t>
      </w:r>
      <w:r>
        <w:rPr>
          <w:spacing w:val="51"/>
        </w:rPr>
        <w:t xml:space="preserve"> </w:t>
      </w:r>
      <w:r>
        <w:t>bodies</w:t>
      </w:r>
      <w:r>
        <w:rPr>
          <w:spacing w:val="52"/>
        </w:rPr>
        <w:t xml:space="preserve"> </w:t>
      </w:r>
      <w:r>
        <w:t>or</w:t>
      </w:r>
      <w:r>
        <w:rPr>
          <w:spacing w:val="52"/>
        </w:rPr>
        <w:t xml:space="preserve"> </w:t>
      </w:r>
      <w:r>
        <w:t>any</w:t>
      </w:r>
      <w:r>
        <w:rPr>
          <w:spacing w:val="1"/>
        </w:rPr>
        <w:t xml:space="preserve"> </w:t>
      </w:r>
      <w:r>
        <w:t>similar activity</w:t>
      </w:r>
      <w:r>
        <w:rPr>
          <w:spacing w:val="1"/>
        </w:rPr>
        <w:t xml:space="preserve"> </w:t>
      </w:r>
      <w:r>
        <w:t>that</w:t>
      </w:r>
      <w:r>
        <w:rPr>
          <w:spacing w:val="1"/>
        </w:rPr>
        <w:t xml:space="preserve"> </w:t>
      </w:r>
      <w:r>
        <w:t>may</w:t>
      </w:r>
      <w:r>
        <w:rPr>
          <w:spacing w:val="1"/>
        </w:rPr>
        <w:t xml:space="preserve"> </w:t>
      </w:r>
      <w:r>
        <w:t>affect its</w:t>
      </w:r>
      <w:r>
        <w:rPr>
          <w:spacing w:val="1"/>
        </w:rPr>
        <w:t xml:space="preserve"> </w:t>
      </w:r>
      <w:r>
        <w:t>impartiality.</w:t>
      </w:r>
      <w:r w:rsidRPr="00F953B5">
        <w:t xml:space="preserve"> Nothing shall be said or implied that would suggest that accreditation would be simpler, easier, faster or less expensive if any specified person(s) or consultancy were used.</w:t>
      </w:r>
    </w:p>
    <w:p w:rsidR="00790F9F" w:rsidRDefault="00F953B5">
      <w:pPr>
        <w:pStyle w:val="GvdeMetni"/>
        <w:spacing w:line="242" w:lineRule="exact"/>
        <w:ind w:left="106"/>
        <w:jc w:val="both"/>
      </w:pPr>
      <w:r>
        <w:t>Offers</w:t>
      </w:r>
      <w:r>
        <w:rPr>
          <w:spacing w:val="7"/>
        </w:rPr>
        <w:t xml:space="preserve"> </w:t>
      </w:r>
      <w:r>
        <w:t>training</w:t>
      </w:r>
      <w:r>
        <w:rPr>
          <w:spacing w:val="8"/>
        </w:rPr>
        <w:t xml:space="preserve"> </w:t>
      </w:r>
      <w:r>
        <w:t>services</w:t>
      </w:r>
      <w:r>
        <w:rPr>
          <w:spacing w:val="8"/>
        </w:rPr>
        <w:t xml:space="preserve"> </w:t>
      </w:r>
      <w:r>
        <w:t>only</w:t>
      </w:r>
      <w:r>
        <w:rPr>
          <w:spacing w:val="8"/>
        </w:rPr>
        <w:t xml:space="preserve"> </w:t>
      </w:r>
      <w:r>
        <w:t>to</w:t>
      </w:r>
      <w:r>
        <w:rPr>
          <w:spacing w:val="8"/>
        </w:rPr>
        <w:t xml:space="preserve"> </w:t>
      </w:r>
      <w:r>
        <w:t>general</w:t>
      </w:r>
      <w:r>
        <w:rPr>
          <w:spacing w:val="7"/>
        </w:rPr>
        <w:t xml:space="preserve"> </w:t>
      </w:r>
      <w:r>
        <w:t>participation</w:t>
      </w:r>
      <w:r>
        <w:rPr>
          <w:spacing w:val="8"/>
        </w:rPr>
        <w:t xml:space="preserve"> </w:t>
      </w:r>
      <w:r>
        <w:t>and</w:t>
      </w:r>
      <w:r>
        <w:rPr>
          <w:spacing w:val="8"/>
        </w:rPr>
        <w:t xml:space="preserve"> </w:t>
      </w:r>
      <w:r>
        <w:t>with</w:t>
      </w:r>
      <w:r>
        <w:rPr>
          <w:spacing w:val="8"/>
        </w:rPr>
        <w:t xml:space="preserve"> </w:t>
      </w:r>
      <w:r>
        <w:t>general</w:t>
      </w:r>
      <w:r>
        <w:rPr>
          <w:spacing w:val="7"/>
        </w:rPr>
        <w:t xml:space="preserve"> </w:t>
      </w:r>
      <w:r>
        <w:t>content.</w:t>
      </w:r>
    </w:p>
    <w:p w:rsidR="00790F9F" w:rsidRDefault="00F953B5">
      <w:pPr>
        <w:pStyle w:val="GvdeMetni"/>
        <w:spacing w:before="30" w:line="276" w:lineRule="auto"/>
        <w:ind w:left="106" w:right="127"/>
        <w:jc w:val="both"/>
      </w:pPr>
      <w:r>
        <w:t>Has</w:t>
      </w:r>
      <w:r>
        <w:rPr>
          <w:spacing w:val="24"/>
        </w:rPr>
        <w:t xml:space="preserve"> </w:t>
      </w:r>
      <w:r>
        <w:t>adopted</w:t>
      </w:r>
      <w:r>
        <w:rPr>
          <w:spacing w:val="24"/>
        </w:rPr>
        <w:t xml:space="preserve"> </w:t>
      </w:r>
      <w:r>
        <w:t>the</w:t>
      </w:r>
      <w:r>
        <w:rPr>
          <w:spacing w:val="24"/>
        </w:rPr>
        <w:t xml:space="preserve"> </w:t>
      </w:r>
      <w:r>
        <w:t>principle</w:t>
      </w:r>
      <w:r>
        <w:rPr>
          <w:spacing w:val="24"/>
        </w:rPr>
        <w:t xml:space="preserve"> </w:t>
      </w:r>
      <w:r>
        <w:t>of</w:t>
      </w:r>
      <w:r>
        <w:rPr>
          <w:spacing w:val="25"/>
        </w:rPr>
        <w:t xml:space="preserve"> </w:t>
      </w:r>
      <w:r>
        <w:t>supporting</w:t>
      </w:r>
      <w:r>
        <w:rPr>
          <w:spacing w:val="24"/>
        </w:rPr>
        <w:t xml:space="preserve"> </w:t>
      </w:r>
      <w:r>
        <w:t>the</w:t>
      </w:r>
      <w:r>
        <w:rPr>
          <w:spacing w:val="24"/>
        </w:rPr>
        <w:t xml:space="preserve"> </w:t>
      </w:r>
      <w:r>
        <w:t>development</w:t>
      </w:r>
      <w:r>
        <w:rPr>
          <w:spacing w:val="24"/>
        </w:rPr>
        <w:t xml:space="preserve"> </w:t>
      </w:r>
      <w:r>
        <w:t>of</w:t>
      </w:r>
      <w:r>
        <w:rPr>
          <w:spacing w:val="25"/>
        </w:rPr>
        <w:t xml:space="preserve"> </w:t>
      </w:r>
      <w:r>
        <w:t>and</w:t>
      </w:r>
      <w:r>
        <w:rPr>
          <w:spacing w:val="24"/>
        </w:rPr>
        <w:t xml:space="preserve"> </w:t>
      </w:r>
      <w:r>
        <w:t>cooperation</w:t>
      </w:r>
      <w:r>
        <w:rPr>
          <w:spacing w:val="24"/>
        </w:rPr>
        <w:t xml:space="preserve"> </w:t>
      </w:r>
      <w:r>
        <w:t>with</w:t>
      </w:r>
      <w:r>
        <w:rPr>
          <w:spacing w:val="24"/>
        </w:rPr>
        <w:t xml:space="preserve"> </w:t>
      </w:r>
      <w:r>
        <w:t>the</w:t>
      </w:r>
      <w:r>
        <w:rPr>
          <w:spacing w:val="25"/>
        </w:rPr>
        <w:t xml:space="preserve"> </w:t>
      </w:r>
      <w:r>
        <w:t>accreditation</w:t>
      </w:r>
      <w:r>
        <w:rPr>
          <w:spacing w:val="24"/>
        </w:rPr>
        <w:t xml:space="preserve"> </w:t>
      </w:r>
      <w:r>
        <w:t>bodies</w:t>
      </w:r>
      <w:r>
        <w:rPr>
          <w:spacing w:val="24"/>
        </w:rPr>
        <w:t xml:space="preserve"> </w:t>
      </w:r>
      <w:r>
        <w:t>of</w:t>
      </w:r>
      <w:r>
        <w:rPr>
          <w:spacing w:val="-61"/>
        </w:rPr>
        <w:t xml:space="preserve"> </w:t>
      </w:r>
      <w:r>
        <w:t>all</w:t>
      </w:r>
      <w:r>
        <w:rPr>
          <w:spacing w:val="1"/>
        </w:rPr>
        <w:t xml:space="preserve"> </w:t>
      </w:r>
      <w:r>
        <w:t>countries</w:t>
      </w:r>
      <w:r>
        <w:rPr>
          <w:spacing w:val="1"/>
        </w:rPr>
        <w:t xml:space="preserve"> </w:t>
      </w:r>
      <w:r>
        <w:t>without</w:t>
      </w:r>
      <w:r>
        <w:rPr>
          <w:spacing w:val="1"/>
        </w:rPr>
        <w:t xml:space="preserve"> </w:t>
      </w:r>
      <w:r>
        <w:t>competing</w:t>
      </w:r>
      <w:r>
        <w:rPr>
          <w:spacing w:val="1"/>
        </w:rPr>
        <w:t xml:space="preserve"> </w:t>
      </w:r>
      <w:r>
        <w:t>with</w:t>
      </w:r>
      <w:r>
        <w:rPr>
          <w:spacing w:val="1"/>
        </w:rPr>
        <w:t xml:space="preserve"> </w:t>
      </w:r>
      <w:r>
        <w:t>them.</w:t>
      </w:r>
    </w:p>
    <w:p w:rsidR="00790F9F" w:rsidRDefault="00F953B5">
      <w:pPr>
        <w:pStyle w:val="GvdeMetni"/>
        <w:spacing w:line="276" w:lineRule="auto"/>
        <w:ind w:left="106" w:right="129"/>
        <w:jc w:val="both"/>
      </w:pPr>
      <w:r>
        <w:t>Has adopted as an indispensable principle to continue its activities without discrimination against any party by</w:t>
      </w:r>
      <w:r>
        <w:rPr>
          <w:spacing w:val="1"/>
        </w:rPr>
        <w:t xml:space="preserve"> </w:t>
      </w:r>
      <w:r>
        <w:t>providing</w:t>
      </w:r>
      <w:r>
        <w:rPr>
          <w:spacing w:val="1"/>
        </w:rPr>
        <w:t xml:space="preserve"> </w:t>
      </w:r>
      <w:r>
        <w:t>the</w:t>
      </w:r>
      <w:r>
        <w:rPr>
          <w:spacing w:val="2"/>
        </w:rPr>
        <w:t xml:space="preserve"> </w:t>
      </w:r>
      <w:r>
        <w:t>relevant</w:t>
      </w:r>
      <w:r>
        <w:rPr>
          <w:spacing w:val="1"/>
        </w:rPr>
        <w:t xml:space="preserve"> </w:t>
      </w:r>
      <w:r>
        <w:t>parties</w:t>
      </w:r>
      <w:r>
        <w:rPr>
          <w:spacing w:val="2"/>
        </w:rPr>
        <w:t xml:space="preserve"> </w:t>
      </w:r>
      <w:r>
        <w:t>with</w:t>
      </w:r>
      <w:r>
        <w:rPr>
          <w:spacing w:val="1"/>
        </w:rPr>
        <w:t xml:space="preserve"> </w:t>
      </w:r>
      <w:r>
        <w:t>the</w:t>
      </w:r>
      <w:r>
        <w:rPr>
          <w:spacing w:val="2"/>
        </w:rPr>
        <w:t xml:space="preserve"> </w:t>
      </w:r>
      <w:r>
        <w:t>opportunity</w:t>
      </w:r>
      <w:r>
        <w:rPr>
          <w:spacing w:val="1"/>
        </w:rPr>
        <w:t xml:space="preserve"> </w:t>
      </w:r>
      <w:r>
        <w:t>to</w:t>
      </w:r>
      <w:r>
        <w:rPr>
          <w:spacing w:val="2"/>
        </w:rPr>
        <w:t xml:space="preserve"> </w:t>
      </w:r>
      <w:r>
        <w:t>participate</w:t>
      </w:r>
      <w:r>
        <w:rPr>
          <w:spacing w:val="1"/>
        </w:rPr>
        <w:t xml:space="preserve"> </w:t>
      </w:r>
      <w:r>
        <w:t>effectively</w:t>
      </w:r>
      <w:r>
        <w:rPr>
          <w:spacing w:val="2"/>
        </w:rPr>
        <w:t xml:space="preserve"> </w:t>
      </w:r>
      <w:r>
        <w:t>in</w:t>
      </w:r>
      <w:r>
        <w:rPr>
          <w:spacing w:val="1"/>
        </w:rPr>
        <w:t xml:space="preserve"> </w:t>
      </w:r>
      <w:r>
        <w:t>the</w:t>
      </w:r>
      <w:r>
        <w:rPr>
          <w:spacing w:val="2"/>
        </w:rPr>
        <w:t xml:space="preserve"> </w:t>
      </w:r>
      <w:r>
        <w:t>maintenance</w:t>
      </w:r>
      <w:r>
        <w:rPr>
          <w:spacing w:val="1"/>
        </w:rPr>
        <w:t xml:space="preserve"> </w:t>
      </w:r>
      <w:r>
        <w:t>of</w:t>
      </w:r>
      <w:r>
        <w:rPr>
          <w:spacing w:val="2"/>
        </w:rPr>
        <w:t xml:space="preserve"> </w:t>
      </w:r>
      <w:r>
        <w:t>impartiality.</w:t>
      </w:r>
    </w:p>
    <w:p w:rsidR="008E47B2" w:rsidRDefault="008E47B2">
      <w:pPr>
        <w:pStyle w:val="GvdeMetni"/>
        <w:spacing w:line="276" w:lineRule="auto"/>
        <w:ind w:left="106" w:right="129"/>
        <w:jc w:val="both"/>
      </w:pPr>
      <w:r w:rsidRPr="008E47B2">
        <w:t>The</w:t>
      </w:r>
      <w:r w:rsidR="000C424E">
        <w:t xml:space="preserve"> </w:t>
      </w:r>
      <w:r w:rsidR="000C424E">
        <w:t>IRNAC</w:t>
      </w:r>
      <w:r w:rsidRPr="008E47B2">
        <w:t>’s policies and procedures shall be non-discriminatory and shall be administered in a non-discriminatory way. The accreditation body shall make its services accessible to all applicants whose requests for accreditation fall within the activities and the limitations as defined within its policies and rules. Access shall not be conditional upon the size of the applicant CAB or membership of any association or group, nor shall accreditation be conditional upon the number of CABs already accredited.</w:t>
      </w:r>
    </w:p>
    <w:p w:rsidR="00047E09" w:rsidRDefault="00047E09">
      <w:pPr>
        <w:pStyle w:val="GvdeMetni"/>
        <w:spacing w:line="276" w:lineRule="auto"/>
        <w:ind w:left="106" w:right="129"/>
        <w:jc w:val="both"/>
      </w:pPr>
      <w:r w:rsidRPr="00047E09">
        <w:t>All</w:t>
      </w:r>
      <w:r w:rsidR="000C424E">
        <w:t xml:space="preserve"> </w:t>
      </w:r>
      <w:r w:rsidR="000C424E">
        <w:t>IRNAC</w:t>
      </w:r>
      <w:bookmarkStart w:id="0" w:name="_GoBack"/>
      <w:bookmarkEnd w:id="0"/>
      <w:r w:rsidR="002E1CBA">
        <w:t xml:space="preserve"> </w:t>
      </w:r>
      <w:r w:rsidRPr="00047E09">
        <w:t>personnel and committees that could influence the accreditation process shall act objectively and shall be free from any undue commercial, financial and other pressures that could compromise impartiality.</w:t>
      </w:r>
    </w:p>
    <w:p w:rsidR="00F953B5" w:rsidRDefault="00F953B5">
      <w:pPr>
        <w:pStyle w:val="GvdeMetni"/>
        <w:spacing w:line="276" w:lineRule="auto"/>
        <w:ind w:left="106" w:right="129"/>
        <w:jc w:val="both"/>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p w:rsidR="00790F9F" w:rsidRDefault="00790F9F">
      <w:pPr>
        <w:pStyle w:val="GvdeMetni"/>
        <w:rPr>
          <w:sz w:val="20"/>
        </w:rPr>
      </w:pPr>
    </w:p>
    <w:sectPr w:rsidR="00790F9F">
      <w:type w:val="continuous"/>
      <w:pgSz w:w="11910" w:h="16840"/>
      <w:pgMar w:top="540" w:right="44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9F"/>
    <w:rsid w:val="00047E09"/>
    <w:rsid w:val="00074B12"/>
    <w:rsid w:val="000B26C3"/>
    <w:rsid w:val="000C424E"/>
    <w:rsid w:val="002E1CBA"/>
    <w:rsid w:val="003140F2"/>
    <w:rsid w:val="004E6A2E"/>
    <w:rsid w:val="00790F9F"/>
    <w:rsid w:val="007C7AF7"/>
    <w:rsid w:val="008E47B2"/>
    <w:rsid w:val="00A2446E"/>
    <w:rsid w:val="00B94A13"/>
    <w:rsid w:val="00D21826"/>
    <w:rsid w:val="00D31027"/>
    <w:rsid w:val="00E63DA7"/>
    <w:rsid w:val="00E7711A"/>
    <w:rsid w:val="00F953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75C2"/>
  <w15:docId w15:val="{13130A69-BE38-440D-977C-EA364C93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1"/>
      <w:szCs w:val="21"/>
    </w:rPr>
  </w:style>
  <w:style w:type="paragraph" w:styleId="KonuBal">
    <w:name w:val="Title"/>
    <w:basedOn w:val="Normal"/>
    <w:uiPriority w:val="1"/>
    <w:qFormat/>
    <w:pPr>
      <w:spacing w:before="98"/>
      <w:ind w:left="4213" w:right="4230"/>
      <w:jc w:val="center"/>
    </w:pPr>
    <w:rPr>
      <w:b/>
      <w:bCs/>
      <w:sz w:val="27"/>
      <w:szCs w:val="27"/>
      <w:u w:val="single" w:color="000000"/>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76"/>
      <w:ind w:left="82"/>
    </w:pPr>
  </w:style>
  <w:style w:type="paragraph" w:styleId="stBilgi">
    <w:name w:val="header"/>
    <w:basedOn w:val="Normal"/>
    <w:link w:val="stBilgiChar"/>
    <w:uiPriority w:val="99"/>
    <w:unhideWhenUsed/>
    <w:rsid w:val="00D31027"/>
    <w:pPr>
      <w:widowControl/>
      <w:tabs>
        <w:tab w:val="center" w:pos="4536"/>
        <w:tab w:val="right" w:pos="9072"/>
      </w:tabs>
      <w:autoSpaceDE/>
      <w:autoSpaceDN/>
    </w:pPr>
    <w:rPr>
      <w:rFonts w:asciiTheme="minorHAnsi" w:eastAsiaTheme="minorHAnsi" w:hAnsiTheme="minorHAnsi" w:cstheme="minorBidi"/>
      <w:lang w:val="tr-TR"/>
    </w:rPr>
  </w:style>
  <w:style w:type="character" w:customStyle="1" w:styleId="stBilgiChar">
    <w:name w:val="Üst Bilgi Char"/>
    <w:basedOn w:val="VarsaylanParagrafYazTipi"/>
    <w:link w:val="stBilgi"/>
    <w:uiPriority w:val="99"/>
    <w:rsid w:val="00D31027"/>
    <w:rPr>
      <w:lang w:val="tr-TR"/>
    </w:rPr>
  </w:style>
  <w:style w:type="table" w:styleId="TabloKlavuzu">
    <w:name w:val="Table Grid"/>
    <w:basedOn w:val="NormalTablo"/>
    <w:uiPriority w:val="59"/>
    <w:rsid w:val="00D31027"/>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sevda@hotmail.com</cp:lastModifiedBy>
  <cp:revision>2</cp:revision>
  <dcterms:created xsi:type="dcterms:W3CDTF">2023-09-27T13:50:00Z</dcterms:created>
  <dcterms:modified xsi:type="dcterms:W3CDTF">2023-09-27T13:50:00Z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2023-03-16T00:00:00Z</vt:filetime>
  </property>
</Properties>
</file>